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F2BE" w14:textId="48A7B66F" w:rsidR="008E6F43" w:rsidRPr="007B14CF" w:rsidRDefault="007B14CF">
      <w:pPr>
        <w:spacing w:after="0" w:line="360" w:lineRule="auto"/>
        <w:rPr>
          <w:b/>
          <w:bCs/>
          <w:sz w:val="40"/>
          <w:szCs w:val="44"/>
        </w:rPr>
      </w:pPr>
      <w:r w:rsidRPr="007B14CF">
        <w:rPr>
          <w:rFonts w:ascii="inter" w:eastAsia="inter" w:hAnsi="inter" w:cs="inter"/>
          <w:b/>
          <w:bCs/>
          <w:noProof/>
          <w:color w:val="000000"/>
          <w:sz w:val="33"/>
          <w:szCs w:val="34"/>
        </w:rPr>
        <w:t>CMA – Market Research &amp; Target Audience Profile</w:t>
      </w:r>
    </w:p>
    <w:p w14:paraId="2E4836B8" w14:textId="77777777" w:rsidR="008E6F43" w:rsidRDefault="007B14CF">
      <w:pPr>
        <w:spacing w:before="315" w:after="105" w:line="360" w:lineRule="auto"/>
        <w:ind w:left="-30"/>
      </w:pPr>
      <w:bookmarkStart w:id="0" w:name="target_audience_profile"/>
      <w:r>
        <w:rPr>
          <w:rFonts w:ascii="inter" w:eastAsia="inter" w:hAnsi="inter" w:cs="inter"/>
          <w:b/>
          <w:color w:val="000000"/>
          <w:sz w:val="24"/>
        </w:rPr>
        <w:t>Target Audience Profile</w:t>
      </w:r>
      <w:bookmarkEnd w:id="0"/>
    </w:p>
    <w:p w14:paraId="23680690" w14:textId="77777777" w:rsidR="008E6F43" w:rsidRDefault="007B14C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Industries:</w:t>
      </w:r>
    </w:p>
    <w:p w14:paraId="68D0945B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Marketing, advertising, media, digital services, agencies, and brands with in-house marketing teams are the largest segment, with Professional, Scientific &amp; Technical Services (NAICS 5418x) and Advertising/PR (541810/541820) most common, each representing an estimated 65-75% prevalence for CMA membership.</w:t>
      </w:r>
      <w:bookmarkStart w:id="1" w:name="fnref1"/>
      <w:bookmarkEnd w:id="1"/>
      <w:r>
        <w:fldChar w:fldCharType="begin"/>
      </w:r>
      <w:r>
        <w:instrText>HYPERLINK \l "fn1"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[1]</w:t>
      </w:r>
      <w:r>
        <w:fldChar w:fldCharType="end"/>
      </w:r>
      <w:bookmarkStart w:id="2" w:name="fnref2"/>
      <w:bookmarkEnd w:id="2"/>
      <w:r>
        <w:fldChar w:fldCharType="begin"/>
      </w:r>
      <w:r>
        <w:instrText>HYPERLINK \l "fn2"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[2]</w:t>
      </w:r>
      <w:r>
        <w:fldChar w:fldCharType="end"/>
      </w:r>
      <w:bookmarkStart w:id="3" w:name="fnref3"/>
      <w:bookmarkEnd w:id="3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24D8634B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Broader reach: Includes corporate marketing departments across retail, finance, technology, healthcare, and non-profits (</w:t>
      </w:r>
      <w:proofErr w:type="spellStart"/>
      <w:r>
        <w:rPr>
          <w:rFonts w:ascii="inter" w:eastAsia="inter" w:hAnsi="inter" w:cs="inter"/>
          <w:color w:val="000000"/>
        </w:rPr>
        <w:t>approx</w:t>
      </w:r>
      <w:proofErr w:type="spellEnd"/>
      <w:r>
        <w:rPr>
          <w:rFonts w:ascii="inter" w:eastAsia="inter" w:hAnsi="inter" w:cs="inter"/>
          <w:color w:val="000000"/>
        </w:rPr>
        <w:t xml:space="preserve"> 25-35%).</w:t>
      </w:r>
      <w:bookmarkStart w:id="4" w:name="fnref4"/>
      <w:bookmarkEnd w:id="4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5" w:name="fnref3_1"/>
      <w:bookmarkEnd w:id="5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1C65EDDE" w14:textId="77777777" w:rsidR="008E6F43" w:rsidRDefault="007B14C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Company Size:</w:t>
      </w:r>
    </w:p>
    <w:p w14:paraId="0D632B47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Ranges from small agencies (10+ employees) to large corporations (500+ employees), but most members are mid-sized organizations (50–500 employees; rationale: price points, event types, and corporate vs. individual membership options).</w:t>
      </w:r>
      <w:bookmarkStart w:id="6" w:name="fnref5"/>
      <w:bookmarkEnd w:id="6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7" w:name="fnref3_2"/>
      <w:bookmarkEnd w:id="7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307FFD2A" w14:textId="77777777" w:rsidR="008E6F43" w:rsidRDefault="007B14CF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Decision Makers:</w:t>
      </w:r>
    </w:p>
    <w:p w14:paraId="391FFAD7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Chief Marketing Officer (CMO)</w:t>
      </w:r>
    </w:p>
    <w:p w14:paraId="1AE6E7FE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VP/Director of Marketing</w:t>
      </w:r>
    </w:p>
    <w:p w14:paraId="275EC59B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Marketing Managers and Senior Digital Strategists</w:t>
      </w:r>
    </w:p>
    <w:p w14:paraId="79CF85F9" w14:textId="77777777" w:rsidR="008E6F43" w:rsidRDefault="007B14CF">
      <w:pPr>
        <w:numPr>
          <w:ilvl w:val="1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Agency Principals/Founders</w:t>
      </w:r>
    </w:p>
    <w:p w14:paraId="2953AA47" w14:textId="77777777" w:rsidR="008E6F43" w:rsidRDefault="007B14CF">
      <w:pPr>
        <w:spacing w:before="315" w:after="105" w:line="360" w:lineRule="auto"/>
        <w:ind w:left="-30"/>
      </w:pPr>
      <w:bookmarkStart w:id="8" w:name="decision_makers"/>
      <w:r>
        <w:rPr>
          <w:rFonts w:ascii="inter" w:eastAsia="inter" w:hAnsi="inter" w:cs="inter"/>
          <w:b/>
          <w:color w:val="000000"/>
          <w:sz w:val="24"/>
        </w:rPr>
        <w:t>Decision Makers</w:t>
      </w:r>
      <w:bookmarkEnd w:id="8"/>
    </w:p>
    <w:p w14:paraId="09B83359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color w:val="000000"/>
        </w:rPr>
        <w:t>│ Role │ Influence Level │ Key Concerns │</w:t>
      </w:r>
      <w:r>
        <w:rPr>
          <w:rFonts w:ascii="inter" w:eastAsia="inter" w:hAnsi="inter" w:cs="inter"/>
          <w:color w:val="000000"/>
        </w:rPr>
        <w:br/>
        <w:t>│-------------│----------------|-------------------------------|</w:t>
      </w:r>
      <w:r>
        <w:rPr>
          <w:rFonts w:ascii="inter" w:eastAsia="inter" w:hAnsi="inter" w:cs="inter"/>
          <w:color w:val="000000"/>
        </w:rPr>
        <w:br/>
        <w:t>│ CMO │ High | ROI, compliance, reputation │</w:t>
      </w:r>
      <w:r>
        <w:rPr>
          <w:rFonts w:ascii="inter" w:eastAsia="inter" w:hAnsi="inter" w:cs="inter"/>
          <w:color w:val="000000"/>
        </w:rPr>
        <w:br/>
      </w:r>
      <w:r>
        <w:rPr>
          <w:rFonts w:ascii="inter" w:eastAsia="inter" w:hAnsi="inter" w:cs="inter"/>
          <w:color w:val="000000"/>
        </w:rPr>
        <w:t>│ VP/Director │ High | Team skills, vendor access │</w:t>
      </w:r>
      <w:r>
        <w:rPr>
          <w:rFonts w:ascii="inter" w:eastAsia="inter" w:hAnsi="inter" w:cs="inter"/>
          <w:color w:val="000000"/>
        </w:rPr>
        <w:br/>
        <w:t>│ Manager │ Medium | Training, tools, trends │</w:t>
      </w:r>
      <w:r>
        <w:rPr>
          <w:rFonts w:ascii="inter" w:eastAsia="inter" w:hAnsi="inter" w:cs="inter"/>
          <w:color w:val="000000"/>
        </w:rPr>
        <w:br/>
        <w:t>│ Founder │ Medium/High | Costs, partnerships, exposure │</w:t>
      </w:r>
    </w:p>
    <w:p w14:paraId="7A9690BB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2D41146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D3B46FF" w14:textId="77777777" w:rsidR="008E6F43" w:rsidRDefault="007B14CF">
      <w:pPr>
        <w:spacing w:before="315" w:after="105" w:line="360" w:lineRule="auto"/>
        <w:ind w:left="-30"/>
      </w:pPr>
      <w:bookmarkStart w:id="9" w:name="competitive_uvp_analysis"/>
      <w:r>
        <w:rPr>
          <w:rFonts w:ascii="inter" w:eastAsia="inter" w:hAnsi="inter" w:cs="inter"/>
          <w:b/>
          <w:color w:val="000000"/>
          <w:sz w:val="24"/>
        </w:rPr>
        <w:lastRenderedPageBreak/>
        <w:t>Competitive UVP Analysis</w:t>
      </w:r>
      <w:bookmarkEnd w:id="9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084"/>
        <w:gridCol w:w="2615"/>
        <w:gridCol w:w="1613"/>
        <w:gridCol w:w="3192"/>
      </w:tblGrid>
      <w:tr w:rsidR="008E6F43" w14:paraId="3892C3E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FA895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Differentiator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35762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CMA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C4317" w14:textId="77777777" w:rsidR="008E6F43" w:rsidRDefault="007B14CF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AdClub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Toronto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1F67FD5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American Marketing Assoc. (AMA Toronto)</w:t>
            </w:r>
          </w:p>
        </w:tc>
      </w:tr>
      <w:tr w:rsidR="008E6F43" w14:paraId="04394F6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15CBC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Pricing Model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F9BDF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Membership, tiered pricing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B9259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Event-based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FFA6674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Membership/events</w:t>
            </w:r>
          </w:p>
        </w:tc>
      </w:tr>
      <w:tr w:rsidR="008E6F43" w14:paraId="391697A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6EA8C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National Reach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0BA14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Yes (Canada-wide)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F541A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Regional (Toronto)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1FA442F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Mostly Ontario, cross-border</w:t>
            </w:r>
          </w:p>
        </w:tc>
      </w:tr>
      <w:tr w:rsidR="008E6F43" w14:paraId="59D4EC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43CE1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Ethics &amp; Advocacy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05676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Strong, government voice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1B4B9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Moderate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4DEFE76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Moderate</w:t>
            </w:r>
          </w:p>
        </w:tc>
      </w:tr>
      <w:tr w:rsidR="008E6F43" w14:paraId="309AF77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75478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Professional Designation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072E8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Chartered Marketer (CM) Program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51D06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None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2E75B00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None</w:t>
            </w:r>
          </w:p>
        </w:tc>
      </w:tr>
      <w:tr w:rsidR="008E6F43" w14:paraId="2C0C0D8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13D8B5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Training &amp; Learning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D811A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Extensive (CM, webinars, guides)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EAB1F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Event-focused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3F79495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Mixed</w:t>
            </w:r>
          </w:p>
        </w:tc>
      </w:tr>
      <w:tr w:rsidR="008E6F43" w14:paraId="6BAD452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0592C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Government Policy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9D85C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Direct representation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E0010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None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A539F4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Limited</w:t>
            </w:r>
          </w:p>
        </w:tc>
      </w:tr>
      <w:tr w:rsidR="008E6F43" w14:paraId="02DA9DE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3624D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Awards/Recognition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2287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Flagship annual awards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C66F0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Yes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985F37B" w14:textId="77777777" w:rsidR="008E6F43" w:rsidRDefault="007B14CF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Yes</w:t>
            </w:r>
          </w:p>
        </w:tc>
      </w:tr>
    </w:tbl>
    <w:p w14:paraId="17E8C086" w14:textId="77777777" w:rsidR="008E6F43" w:rsidRDefault="008E6F43"/>
    <w:p w14:paraId="572E9618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0174D6D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140F727" w14:textId="77777777" w:rsidR="008E6F43" w:rsidRDefault="007B14CF">
      <w:pPr>
        <w:spacing w:before="315" w:after="105" w:line="360" w:lineRule="auto"/>
        <w:ind w:left="-30"/>
      </w:pPr>
      <w:bookmarkStart w:id="10" w:name="swot_analysis_service_differentiators"/>
      <w:r>
        <w:rPr>
          <w:rFonts w:ascii="inter" w:eastAsia="inter" w:hAnsi="inter" w:cs="inter"/>
          <w:b/>
          <w:color w:val="000000"/>
          <w:sz w:val="24"/>
        </w:rPr>
        <w:t>SWOT Analysis (Service Differentiators)</w:t>
      </w:r>
      <w:bookmarkEnd w:id="10"/>
    </w:p>
    <w:p w14:paraId="2456643E" w14:textId="77777777" w:rsidR="008E6F43" w:rsidRDefault="007B14C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Strengths:</w:t>
      </w:r>
      <w:r>
        <w:rPr>
          <w:rFonts w:ascii="inter" w:eastAsia="inter" w:hAnsi="inter" w:cs="inter"/>
          <w:color w:val="000000"/>
        </w:rPr>
        <w:t xml:space="preserve"> Largest national association, recognized ethics/code, direct government advocacy, top-tier networking/events, only Canadian Chartered Marketer (CM) designation.</w:t>
      </w:r>
      <w:bookmarkStart w:id="11" w:name="fnref6"/>
      <w:bookmarkEnd w:id="11"/>
      <w:r>
        <w:fldChar w:fldCharType="begin"/>
      </w:r>
      <w:r>
        <w:instrText>HYPERLINK \l "fn6"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[6]</w:t>
      </w:r>
      <w:r>
        <w:fldChar w:fldCharType="end"/>
      </w:r>
      <w:bookmarkStart w:id="12" w:name="fnref3_3"/>
      <w:bookmarkEnd w:id="12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21506688" w14:textId="77777777" w:rsidR="008E6F43" w:rsidRDefault="007B14C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Weaknesses:</w:t>
      </w:r>
      <w:r>
        <w:rPr>
          <w:rFonts w:ascii="inter" w:eastAsia="inter" w:hAnsi="inter" w:cs="inter"/>
          <w:color w:val="000000"/>
        </w:rPr>
        <w:t xml:space="preserve"> Higher price point for some offerings, mostly English-language content, less focus on startups.</w:t>
      </w:r>
    </w:p>
    <w:p w14:paraId="247A383D" w14:textId="77777777" w:rsidR="008E6F43" w:rsidRDefault="007B14C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Opportunities:</w:t>
      </w:r>
      <w:r>
        <w:rPr>
          <w:rFonts w:ascii="inter" w:eastAsia="inter" w:hAnsi="inter" w:cs="inter"/>
          <w:color w:val="000000"/>
        </w:rPr>
        <w:t xml:space="preserve"> Tapping emerging industries (AI, Martech), expanding francophone offerings.</w:t>
      </w:r>
    </w:p>
    <w:p w14:paraId="7FCC44E9" w14:textId="77777777" w:rsidR="008E6F43" w:rsidRDefault="007B14CF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Threats:</w:t>
      </w:r>
      <w:r>
        <w:rPr>
          <w:rFonts w:ascii="inter" w:eastAsia="inter" w:hAnsi="inter" w:cs="inter"/>
          <w:color w:val="000000"/>
        </w:rPr>
        <w:t xml:space="preserve"> Regional groups offering similar networking/events at lower cost; US organizations with digital reach.</w:t>
      </w:r>
    </w:p>
    <w:p w14:paraId="5A7CAD28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Confidence rating:</w:t>
      </w:r>
      <w:r>
        <w:rPr>
          <w:rFonts w:ascii="inter" w:eastAsia="inter" w:hAnsi="inter" w:cs="inter"/>
          <w:color w:val="000000"/>
        </w:rPr>
        <w:t xml:space="preserve"> High (public membership/materials, repeated positioning).</w:t>
      </w:r>
      <w:bookmarkStart w:id="13" w:name="fnref3_4"/>
      <w:bookmarkEnd w:id="13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14" w:name="fnref5_1"/>
      <w:bookmarkEnd w:id="14"/>
      <w:r>
        <w:fldChar w:fldCharType="begin"/>
      </w:r>
      <w:r>
        <w:instrText>HYPERLINK \l "fn5"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[5]</w:t>
      </w:r>
      <w:r>
        <w:fldChar w:fldCharType="end"/>
      </w:r>
      <w:bookmarkStart w:id="15" w:name="fnref4_1"/>
      <w:bookmarkEnd w:id="15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14:paraId="7C0BC3F3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C334ECB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A693B1C" w14:textId="77777777" w:rsidR="008E6F43" w:rsidRDefault="007B14CF">
      <w:pPr>
        <w:spacing w:before="315" w:after="105" w:line="360" w:lineRule="auto"/>
        <w:ind w:left="-30"/>
      </w:pPr>
      <w:bookmarkStart w:id="16" w:name="quantified_pain_solutions"/>
      <w:r>
        <w:rPr>
          <w:rFonts w:ascii="inter" w:eastAsia="inter" w:hAnsi="inter" w:cs="inter"/>
          <w:b/>
          <w:color w:val="000000"/>
          <w:sz w:val="24"/>
        </w:rPr>
        <w:t>Quantified Pain Solutions</w:t>
      </w:r>
      <w:bookmarkEnd w:id="16"/>
    </w:p>
    <w:p w14:paraId="620D887F" w14:textId="77777777" w:rsidR="008E6F43" w:rsidRDefault="007B14C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“73% of Canadians prefer highly relevant, targeted digital ads—CMA helps marketers deliver these through training and best practices”.</w:t>
      </w:r>
      <w:bookmarkStart w:id="17" w:name="fnref7"/>
      <w:bookmarkEnd w:id="17"/>
      <w:r>
        <w:fldChar w:fldCharType="begin"/>
      </w:r>
      <w:r>
        <w:instrText>HYPERLINK \l "fn7"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fldChar w:fldCharType="end"/>
      </w:r>
    </w:p>
    <w:p w14:paraId="3C3A5C7C" w14:textId="77777777" w:rsidR="008E6F43" w:rsidRDefault="007B14C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“Businesses that invest in personalization driven by CMA insights see average ROI increases of up to 20%”.</w:t>
      </w:r>
      <w:bookmarkStart w:id="18" w:name="fnref8"/>
      <w:bookmarkEnd w:id="18"/>
      <w:r>
        <w:fldChar w:fldCharType="begin"/>
      </w:r>
      <w:r>
        <w:instrText>HYPERLINK \l "fn8"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[8]</w:t>
      </w:r>
      <w:r>
        <w:fldChar w:fldCharType="end"/>
      </w:r>
    </w:p>
    <w:p w14:paraId="25FACD8D" w14:textId="77777777" w:rsidR="008E6F43" w:rsidRDefault="007B14CF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“CMA’s training programs enable marketing teams to improve campaign performance by up to 37% through industry-recognized skills development”.</w:t>
      </w:r>
      <w:bookmarkStart w:id="19" w:name="fnref9"/>
      <w:bookmarkEnd w:id="19"/>
      <w:r>
        <w:fldChar w:fldCharType="begin"/>
      </w:r>
      <w:r>
        <w:instrText>HYPERLINK \l "fn9"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fldChar w:fldCharType="end"/>
      </w:r>
    </w:p>
    <w:p w14:paraId="21AC5F29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Case Study Example:</w:t>
      </w:r>
      <w:r>
        <w:rPr>
          <w:rFonts w:ascii="inter" w:eastAsia="inter" w:hAnsi="inter" w:cs="inter"/>
          <w:color w:val="000000"/>
        </w:rPr>
        <w:br/>
        <w:t>A retail company that enrolled its team in the CMA’s digital marketing course reported a 30% increase in campaign engagement within six months (per internal testimonials aggregated for awards applications).</w:t>
      </w:r>
      <w:bookmarkStart w:id="20" w:name="fnref4_2"/>
      <w:bookmarkEnd w:id="20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  <w:bookmarkStart w:id="21" w:name="fnref9_1"/>
      <w:bookmarkEnd w:id="21"/>
      <w:r>
        <w:fldChar w:fldCharType="begin"/>
      </w:r>
      <w:r>
        <w:instrText>HYPERLINK \l "fn9"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fldChar w:fldCharType="end"/>
      </w:r>
    </w:p>
    <w:p w14:paraId="6CCB5F90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Confidence rating:</w:t>
      </w:r>
      <w:r>
        <w:rPr>
          <w:rFonts w:ascii="inter" w:eastAsia="inter" w:hAnsi="inter" w:cs="inter"/>
          <w:color w:val="000000"/>
        </w:rPr>
        <w:t xml:space="preserve"> Medium (public stats cited, some results based on aggregated CMA member testimonials).</w:t>
      </w:r>
    </w:p>
    <w:p w14:paraId="511E15F1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Recommended Verification Steps:</w:t>
      </w:r>
    </w:p>
    <w:p w14:paraId="0A3C977F" w14:textId="77777777" w:rsidR="008E6F43" w:rsidRDefault="007B14CF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Run a SEMrush keyword gap audit to benchmark CMA vs. </w:t>
      </w:r>
      <w:proofErr w:type="spellStart"/>
      <w:r>
        <w:rPr>
          <w:rFonts w:ascii="inter" w:eastAsia="inter" w:hAnsi="inter" w:cs="inter"/>
          <w:color w:val="000000"/>
        </w:rPr>
        <w:t>AdClub</w:t>
      </w:r>
      <w:proofErr w:type="spellEnd"/>
      <w:r>
        <w:rPr>
          <w:rFonts w:ascii="inter" w:eastAsia="inter" w:hAnsi="inter" w:cs="inter"/>
          <w:color w:val="000000"/>
        </w:rPr>
        <w:t xml:space="preserve"> Toronto, AMA Toronto, and other member associations’ digital visibility and content gaps.</w:t>
      </w:r>
      <w:bookmarkStart w:id="22" w:name="fnref10"/>
      <w:bookmarkEnd w:id="22"/>
      <w:r>
        <w:fldChar w:fldCharType="begin"/>
      </w:r>
      <w:r>
        <w:instrText>HYPERLINK \l "fn10"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[10]</w:t>
      </w:r>
      <w:r>
        <w:fldChar w:fldCharType="end"/>
      </w:r>
      <w:bookmarkStart w:id="23" w:name="fnref11"/>
      <w:bookmarkEnd w:id="23"/>
      <w:r>
        <w:fldChar w:fldCharType="begin"/>
      </w:r>
      <w:r>
        <w:instrText>HYPERLINK \l "fn11"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[11]</w:t>
      </w:r>
      <w:r>
        <w:fldChar w:fldCharType="end"/>
      </w:r>
    </w:p>
    <w:p w14:paraId="518C878D" w14:textId="77777777" w:rsidR="008E6F43" w:rsidRDefault="007B14CF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Use </w:t>
      </w:r>
      <w:proofErr w:type="spellStart"/>
      <w:r>
        <w:rPr>
          <w:rFonts w:ascii="inter" w:eastAsia="inter" w:hAnsi="inter" w:cs="inter"/>
          <w:color w:val="000000"/>
        </w:rPr>
        <w:t>Revuze</w:t>
      </w:r>
      <w:proofErr w:type="spellEnd"/>
      <w:r>
        <w:rPr>
          <w:rFonts w:ascii="inter" w:eastAsia="inter" w:hAnsi="inter" w:cs="inter"/>
          <w:color w:val="000000"/>
        </w:rPr>
        <w:t xml:space="preserve"> or similar to extract sentiment trends from reviews/testimonials of CMA events and courses for unbiased feedback and opportunity signals.</w:t>
      </w:r>
      <w:bookmarkStart w:id="24" w:name="fnref12"/>
      <w:bookmarkEnd w:id="24"/>
      <w:r>
        <w:fldChar w:fldCharType="begin"/>
      </w:r>
      <w:r>
        <w:instrText>HYPERLINK \l "fn12"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[12]</w:t>
      </w:r>
      <w:r>
        <w:fldChar w:fldCharType="end"/>
      </w:r>
      <w:bookmarkStart w:id="25" w:name="fnref13"/>
      <w:bookmarkEnd w:id="25"/>
      <w:r>
        <w:fldChar w:fldCharType="begin"/>
      </w:r>
      <w:r>
        <w:instrText>HYPERLINK \l "fn13"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[13]</w:t>
      </w:r>
      <w:r>
        <w:fldChar w:fldCharType="end"/>
      </w:r>
      <w:bookmarkStart w:id="26" w:name="fnref14"/>
      <w:bookmarkEnd w:id="26"/>
      <w:r>
        <w:fldChar w:fldCharType="begin"/>
      </w:r>
      <w:r>
        <w:instrText>HYPERLINK \l "fn14"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[14]</w:t>
      </w:r>
      <w:r>
        <w:fldChar w:fldCharType="end"/>
      </w:r>
    </w:p>
    <w:p w14:paraId="173910B4" w14:textId="77777777" w:rsidR="008E6F43" w:rsidRDefault="007B14CF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Run a mini member survey focused on post-training outcomes (quantitative).</w:t>
      </w:r>
    </w:p>
    <w:p w14:paraId="03429320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9F25DF5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C12DBE9" w14:textId="77777777" w:rsidR="008E6F43" w:rsidRDefault="007B14CF">
      <w:pPr>
        <w:spacing w:before="315" w:after="105" w:line="360" w:lineRule="auto"/>
        <w:ind w:left="-30"/>
      </w:pPr>
      <w:bookmarkStart w:id="27" w:name="step_2_top_competitor_identification"/>
      <w:r>
        <w:rPr>
          <w:rFonts w:ascii="inter" w:eastAsia="inter" w:hAnsi="inter" w:cs="inter"/>
          <w:b/>
          <w:color w:val="000000"/>
          <w:sz w:val="24"/>
        </w:rPr>
        <w:t>STEP 2: Top Competitor Identification</w:t>
      </w:r>
      <w:bookmarkEnd w:id="27"/>
    </w:p>
    <w:p w14:paraId="6A8B56B5" w14:textId="77777777" w:rsidR="008E6F43" w:rsidRDefault="007B14CF">
      <w:pPr>
        <w:spacing w:before="315" w:after="105" w:line="360" w:lineRule="auto"/>
        <w:ind w:left="-30"/>
      </w:pPr>
      <w:bookmarkStart w:id="28" w:name="cma_s_position_context"/>
      <w:r>
        <w:rPr>
          <w:rFonts w:ascii="inter" w:eastAsia="inter" w:hAnsi="inter" w:cs="inter"/>
          <w:b/>
          <w:color w:val="000000"/>
          <w:sz w:val="24"/>
        </w:rPr>
        <w:t>CMA’s Position (Context):</w:t>
      </w:r>
      <w:bookmarkEnd w:id="28"/>
    </w:p>
    <w:p w14:paraId="7E8A3F28" w14:textId="77777777" w:rsidR="008E6F43" w:rsidRDefault="007B14CF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Target Audience:</w:t>
      </w:r>
      <w:r>
        <w:rPr>
          <w:rFonts w:ascii="inter" w:eastAsia="inter" w:hAnsi="inter" w:cs="inter"/>
          <w:color w:val="000000"/>
        </w:rPr>
        <w:t xml:space="preserve"> Canadian marketers (agency and in-house), brands, mid- to large-sized organizations focused on skill development, compliance, and recognition.</w:t>
      </w:r>
      <w:bookmarkStart w:id="29" w:name="fnref3_5"/>
      <w:bookmarkEnd w:id="29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  <w:bookmarkStart w:id="30" w:name="fnref9_2"/>
      <w:bookmarkEnd w:id="30"/>
      <w:r>
        <w:fldChar w:fldCharType="begin"/>
      </w:r>
      <w:r>
        <w:instrText>HYPERLINK \l "fn9"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fldChar w:fldCharType="end"/>
      </w:r>
      <w:bookmarkStart w:id="31" w:name="fnref4_3"/>
      <w:bookmarkEnd w:id="31"/>
      <w:r>
        <w:fldChar w:fldCharType="begin"/>
      </w:r>
      <w:r>
        <w:instrText>HYPERLINK \l "fn4"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[4]</w:t>
      </w:r>
      <w:r>
        <w:fldChar w:fldCharType="end"/>
      </w:r>
    </w:p>
    <w:p w14:paraId="18A5E6D5" w14:textId="77777777" w:rsidR="008E6F43" w:rsidRDefault="007B14CF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Unique Value Proposition:</w:t>
      </w:r>
      <w:r>
        <w:rPr>
          <w:rFonts w:ascii="inter" w:eastAsia="inter" w:hAnsi="inter" w:cs="inter"/>
          <w:color w:val="000000"/>
        </w:rPr>
        <w:t xml:space="preserve"> Only Canada-wide association offering government advocacy, a CM professional designation, national ethics code, and flagship national awards.</w:t>
      </w:r>
    </w:p>
    <w:p w14:paraId="2F953240" w14:textId="77777777" w:rsidR="008E6F43" w:rsidRDefault="007B14CF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Pain Points Solved:</w:t>
      </w:r>
      <w:r>
        <w:rPr>
          <w:rFonts w:ascii="inter" w:eastAsia="inter" w:hAnsi="inter" w:cs="inter"/>
          <w:color w:val="000000"/>
        </w:rPr>
        <w:t xml:space="preserve"> Skills gaps, compliance complexity, industry networking, advocacy for marketing interests</w:t>
      </w:r>
      <w:proofErr w:type="gramStart"/>
      <w:r>
        <w:rPr>
          <w:rFonts w:ascii="inter" w:eastAsia="inter" w:hAnsi="inter" w:cs="inter"/>
          <w:color w:val="000000"/>
        </w:rPr>
        <w:t>, industry</w:t>
      </w:r>
      <w:proofErr w:type="gramEnd"/>
      <w:r>
        <w:rPr>
          <w:rFonts w:ascii="inter" w:eastAsia="inter" w:hAnsi="inter" w:cs="inter"/>
          <w:color w:val="000000"/>
        </w:rPr>
        <w:t>-wide recognition.</w:t>
      </w:r>
    </w:p>
    <w:p w14:paraId="09B595EC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2192EFC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453BF4" w14:textId="77777777" w:rsidR="008E6F43" w:rsidRDefault="007B14CF">
      <w:pPr>
        <w:spacing w:before="315" w:after="105" w:line="360" w:lineRule="auto"/>
        <w:ind w:left="-30"/>
      </w:pPr>
      <w:bookmarkStart w:id="32" w:name="competitor_1_adclub_toronto"/>
      <w:r>
        <w:rPr>
          <w:rFonts w:ascii="inter" w:eastAsia="inter" w:hAnsi="inter" w:cs="inter"/>
          <w:b/>
          <w:color w:val="000000"/>
          <w:sz w:val="24"/>
        </w:rPr>
        <w:t xml:space="preserve">Competitor 1: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AdClub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Toronto</w:t>
      </w:r>
      <w:bookmarkEnd w:id="32"/>
    </w:p>
    <w:p w14:paraId="7919C279" w14:textId="77777777" w:rsidR="008E6F43" w:rsidRDefault="007B14CF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Type:</w:t>
      </w:r>
      <w:r>
        <w:rPr>
          <w:rFonts w:ascii="inter" w:eastAsia="inter" w:hAnsi="inter" w:cs="inter"/>
          <w:color w:val="000000"/>
        </w:rPr>
        <w:t xml:space="preserve"> Direct</w:t>
      </w:r>
    </w:p>
    <w:p w14:paraId="6C469D0E" w14:textId="77777777" w:rsidR="008E6F43" w:rsidRDefault="007B14CF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Product/Service Offerings:</w:t>
      </w:r>
      <w:r>
        <w:rPr>
          <w:rFonts w:ascii="inter" w:eastAsia="inter" w:hAnsi="inter" w:cs="inter"/>
          <w:color w:val="000000"/>
        </w:rPr>
        <w:t xml:space="preserve"> Marketing/advertising networking events, career fairs, themed learning series, industry awards.</w:t>
      </w:r>
    </w:p>
    <w:p w14:paraId="6C042116" w14:textId="77777777" w:rsidR="008E6F43" w:rsidRDefault="007B14CF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Target Audience:</w:t>
      </w:r>
      <w:r>
        <w:rPr>
          <w:rFonts w:ascii="inter" w:eastAsia="inter" w:hAnsi="inter" w:cs="inter"/>
          <w:color w:val="000000"/>
        </w:rPr>
        <w:t xml:space="preserve"> Agency and brand marketers mostly in Toronto/GTA.</w:t>
      </w:r>
    </w:p>
    <w:p w14:paraId="757644B2" w14:textId="77777777" w:rsidR="008E6F43" w:rsidRDefault="007B14CF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Key Differentiators:</w:t>
      </w:r>
      <w:r>
        <w:rPr>
          <w:rFonts w:ascii="inter" w:eastAsia="inter" w:hAnsi="inter" w:cs="inter"/>
          <w:color w:val="000000"/>
        </w:rPr>
        <w:t xml:space="preserve"> Longer history in Toronto market, deep event roster, lower individual event costs.</w:t>
      </w:r>
    </w:p>
    <w:p w14:paraId="55365CAB" w14:textId="77777777" w:rsidR="008E6F43" w:rsidRDefault="007B14CF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Marketing/Positioning Strategy:</w:t>
      </w:r>
      <w:r>
        <w:rPr>
          <w:rFonts w:ascii="inter" w:eastAsia="inter" w:hAnsi="inter" w:cs="inter"/>
          <w:color w:val="000000"/>
        </w:rPr>
        <w:t xml:space="preserve"> “Connect, learn, celebrate” with a local community-first approach.</w:t>
      </w:r>
    </w:p>
    <w:p w14:paraId="218DFDA4" w14:textId="77777777" w:rsidR="008E6F43" w:rsidRDefault="007B14CF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Channels of Influence:</w:t>
      </w:r>
      <w:r>
        <w:rPr>
          <w:rFonts w:ascii="inter" w:eastAsia="inter" w:hAnsi="inter" w:cs="inter"/>
          <w:color w:val="000000"/>
        </w:rPr>
        <w:t xml:space="preserve"> In-person events, LinkedIn, Instagram, partnerships with Toronto media.</w:t>
      </w:r>
      <w:bookmarkStart w:id="33" w:name="fnref15"/>
      <w:bookmarkEnd w:id="33"/>
      <w:r>
        <w:fldChar w:fldCharType="begin"/>
      </w:r>
      <w:r>
        <w:instrText>HYPERLINK \l "fn15"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[15]</w:t>
      </w:r>
      <w:r>
        <w:fldChar w:fldCharType="end"/>
      </w:r>
      <w:bookmarkStart w:id="34" w:name="fnref16"/>
      <w:bookmarkEnd w:id="34"/>
      <w:r>
        <w:fldChar w:fldCharType="begin"/>
      </w:r>
      <w:r>
        <w:instrText>HYPERLINK \l "fn16"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[16]</w:t>
      </w:r>
      <w:r>
        <w:fldChar w:fldCharType="end"/>
      </w:r>
      <w:bookmarkStart w:id="35" w:name="fnref3_6"/>
      <w:bookmarkEnd w:id="35"/>
      <w:r>
        <w:fldChar w:fldCharType="begin"/>
      </w:r>
      <w:r>
        <w:instrText>HYPERLINK \l "fn3"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[3]</w:t>
      </w:r>
      <w:r>
        <w:fldChar w:fldCharType="end"/>
      </w:r>
    </w:p>
    <w:p w14:paraId="5F48372C" w14:textId="77777777" w:rsidR="008E6F43" w:rsidRDefault="007B14CF">
      <w:pPr>
        <w:spacing w:before="315" w:after="105" w:line="360" w:lineRule="auto"/>
        <w:ind w:left="-30"/>
      </w:pPr>
      <w:bookmarkStart w:id="36" w:name="competitor_2_american_marketing_a_1e4cda"/>
      <w:r>
        <w:rPr>
          <w:rFonts w:ascii="inter" w:eastAsia="inter" w:hAnsi="inter" w:cs="inter"/>
          <w:b/>
          <w:color w:val="000000"/>
          <w:sz w:val="24"/>
        </w:rPr>
        <w:t>Competitor 2: American Marketing Association (AMA Toronto Chapter)</w:t>
      </w:r>
      <w:bookmarkEnd w:id="36"/>
    </w:p>
    <w:p w14:paraId="70796E78" w14:textId="77777777" w:rsidR="008E6F43" w:rsidRDefault="007B14CF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Type:</w:t>
      </w:r>
      <w:r>
        <w:rPr>
          <w:rFonts w:ascii="inter" w:eastAsia="inter" w:hAnsi="inter" w:cs="inter"/>
          <w:color w:val="000000"/>
        </w:rPr>
        <w:t xml:space="preserve"> Indirect (cross-border, local chapter)</w:t>
      </w:r>
    </w:p>
    <w:p w14:paraId="7D8FE97A" w14:textId="77777777" w:rsidR="008E6F43" w:rsidRDefault="007B14CF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Product/Service Offerings:</w:t>
      </w:r>
      <w:r>
        <w:rPr>
          <w:rFonts w:ascii="inter" w:eastAsia="inter" w:hAnsi="inter" w:cs="inter"/>
          <w:color w:val="000000"/>
        </w:rPr>
        <w:t xml:space="preserve"> Membership, training, webinars, US-centric credentials, Ontario events.</w:t>
      </w:r>
    </w:p>
    <w:p w14:paraId="14FCDF24" w14:textId="77777777" w:rsidR="008E6F43" w:rsidRDefault="007B14CF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Target Audience:</w:t>
      </w:r>
      <w:r>
        <w:rPr>
          <w:rFonts w:ascii="inter" w:eastAsia="inter" w:hAnsi="inter" w:cs="inter"/>
          <w:color w:val="000000"/>
        </w:rPr>
        <w:t xml:space="preserve"> Canadian marketers with US focus or cross-border practices; emerging professionals.</w:t>
      </w:r>
    </w:p>
    <w:p w14:paraId="44091842" w14:textId="77777777" w:rsidR="008E6F43" w:rsidRDefault="007B14CF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Key Differentiators:</w:t>
      </w:r>
      <w:r>
        <w:rPr>
          <w:rFonts w:ascii="inter" w:eastAsia="inter" w:hAnsi="inter" w:cs="inter"/>
          <w:color w:val="000000"/>
        </w:rPr>
        <w:t xml:space="preserve"> Shared US/Canadian resources, internationally recognized content.</w:t>
      </w:r>
    </w:p>
    <w:p w14:paraId="2BF46DF3" w14:textId="77777777" w:rsidR="008E6F43" w:rsidRDefault="007B14CF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Marketing/Positioning Strategy:</w:t>
      </w:r>
      <w:r>
        <w:rPr>
          <w:rFonts w:ascii="inter" w:eastAsia="inter" w:hAnsi="inter" w:cs="inter"/>
          <w:color w:val="000000"/>
        </w:rPr>
        <w:t xml:space="preserve"> “Connecting marketers on both sides of the border,” emphasizing global best practices.</w:t>
      </w:r>
    </w:p>
    <w:p w14:paraId="5B2AD22D" w14:textId="77777777" w:rsidR="008E6F43" w:rsidRDefault="007B14CF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Channels of Influence:</w:t>
      </w:r>
      <w:r>
        <w:rPr>
          <w:rFonts w:ascii="inter" w:eastAsia="inter" w:hAnsi="inter" w:cs="inter"/>
          <w:color w:val="000000"/>
        </w:rPr>
        <w:t xml:space="preserve"> Webinars, LinkedIn, podcasts, content hub, partner events.</w:t>
      </w:r>
      <w:bookmarkStart w:id="37" w:name="fnref15_1"/>
      <w:bookmarkEnd w:id="37"/>
      <w:r>
        <w:fldChar w:fldCharType="begin"/>
      </w:r>
      <w:r>
        <w:instrText>HYPERLINK \l "fn15"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[15]</w:t>
      </w:r>
      <w:r>
        <w:fldChar w:fldCharType="end"/>
      </w:r>
    </w:p>
    <w:p w14:paraId="14CDEC74" w14:textId="77777777" w:rsidR="008E6F43" w:rsidRDefault="007B14CF">
      <w:pPr>
        <w:spacing w:before="315" w:after="105" w:line="360" w:lineRule="auto"/>
        <w:ind w:left="-30"/>
      </w:pPr>
      <w:bookmarkStart w:id="38" w:name="competitor_3_institute_of_communi_594e5e"/>
      <w:r>
        <w:rPr>
          <w:rFonts w:ascii="inter" w:eastAsia="inter" w:hAnsi="inter" w:cs="inter"/>
          <w:b/>
          <w:color w:val="000000"/>
          <w:sz w:val="24"/>
        </w:rPr>
        <w:t>Competitor 3: Institute of Communication Agencies (ICA)</w:t>
      </w:r>
      <w:bookmarkEnd w:id="38"/>
    </w:p>
    <w:p w14:paraId="3AF4EB64" w14:textId="77777777" w:rsidR="008E6F43" w:rsidRDefault="007B14CF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Type:</w:t>
      </w:r>
      <w:r>
        <w:rPr>
          <w:rFonts w:ascii="inter" w:eastAsia="inter" w:hAnsi="inter" w:cs="inter"/>
          <w:color w:val="000000"/>
        </w:rPr>
        <w:t xml:space="preserve"> Indirect</w:t>
      </w:r>
    </w:p>
    <w:p w14:paraId="60F73F95" w14:textId="77777777" w:rsidR="008E6F43" w:rsidRDefault="007B14CF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Product/Service Offerings:</w:t>
      </w:r>
      <w:r>
        <w:rPr>
          <w:rFonts w:ascii="inter" w:eastAsia="inter" w:hAnsi="inter" w:cs="inter"/>
          <w:color w:val="000000"/>
        </w:rPr>
        <w:t xml:space="preserve"> Advocacy for agencies, awards, guidelines, </w:t>
      </w:r>
      <w:proofErr w:type="gramStart"/>
      <w:r>
        <w:rPr>
          <w:rFonts w:ascii="inter" w:eastAsia="inter" w:hAnsi="inter" w:cs="inter"/>
          <w:color w:val="000000"/>
        </w:rPr>
        <w:t>diversity</w:t>
      </w:r>
      <w:proofErr w:type="gramEnd"/>
      <w:r>
        <w:rPr>
          <w:rFonts w:ascii="inter" w:eastAsia="inter" w:hAnsi="inter" w:cs="inter"/>
          <w:color w:val="000000"/>
        </w:rPr>
        <w:t>-focused forums.</w:t>
      </w:r>
    </w:p>
    <w:p w14:paraId="084F1252" w14:textId="77777777" w:rsidR="008E6F43" w:rsidRDefault="007B14CF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Target Audience:</w:t>
      </w:r>
      <w:r>
        <w:rPr>
          <w:rFonts w:ascii="inter" w:eastAsia="inter" w:hAnsi="inter" w:cs="inter"/>
          <w:color w:val="000000"/>
        </w:rPr>
        <w:t xml:space="preserve"> Canadian ad agencies, holding companies, creative shops.</w:t>
      </w:r>
    </w:p>
    <w:p w14:paraId="5C7E8970" w14:textId="77777777" w:rsidR="008E6F43" w:rsidRDefault="007B14CF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Key Differentiators:</w:t>
      </w:r>
      <w:r>
        <w:rPr>
          <w:rFonts w:ascii="inter" w:eastAsia="inter" w:hAnsi="inter" w:cs="inter"/>
          <w:color w:val="000000"/>
        </w:rPr>
        <w:t xml:space="preserve"> Policy/agency advocacy, Cannes/National awards, DEI leadership.</w:t>
      </w:r>
    </w:p>
    <w:p w14:paraId="7D6B699F" w14:textId="77777777" w:rsidR="008E6F43" w:rsidRDefault="007B14CF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Marketing/Positioning Strategy:</w:t>
      </w:r>
      <w:r>
        <w:rPr>
          <w:rFonts w:ascii="inter" w:eastAsia="inter" w:hAnsi="inter" w:cs="inter"/>
          <w:color w:val="000000"/>
        </w:rPr>
        <w:t xml:space="preserve"> “Championing the value of agencies,” with a focus on industry culture and thought leadership.</w:t>
      </w:r>
    </w:p>
    <w:p w14:paraId="1CBFF419" w14:textId="77777777" w:rsidR="008E6F43" w:rsidRDefault="007B14CF">
      <w:pPr>
        <w:numPr>
          <w:ilvl w:val="0"/>
          <w:numId w:val="8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Channels of Influence:</w:t>
      </w:r>
      <w:r>
        <w:rPr>
          <w:rFonts w:ascii="inter" w:eastAsia="inter" w:hAnsi="inter" w:cs="inter"/>
          <w:color w:val="000000"/>
        </w:rPr>
        <w:t xml:space="preserve"> LinkedIn, YouTube, conferences, industry press.</w:t>
      </w:r>
      <w:bookmarkStart w:id="39" w:name="fnref15_2"/>
      <w:bookmarkEnd w:id="39"/>
      <w:r>
        <w:fldChar w:fldCharType="begin"/>
      </w:r>
      <w:r>
        <w:instrText>HYPERLINK \l "fn15"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[15]</w:t>
      </w:r>
      <w:r>
        <w:fldChar w:fldCharType="end"/>
      </w:r>
    </w:p>
    <w:p w14:paraId="0B0415F6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Tools Used for Identification:</w:t>
      </w:r>
    </w:p>
    <w:p w14:paraId="36CB3EA8" w14:textId="77777777" w:rsidR="008E6F43" w:rsidRDefault="007B14CF">
      <w:pPr>
        <w:numPr>
          <w:ilvl w:val="0"/>
          <w:numId w:val="9"/>
        </w:numPr>
        <w:spacing w:before="105" w:after="105" w:line="360" w:lineRule="auto"/>
      </w:pPr>
      <w:proofErr w:type="spellStart"/>
      <w:r>
        <w:rPr>
          <w:rFonts w:ascii="inter" w:eastAsia="inter" w:hAnsi="inter" w:cs="inter"/>
          <w:color w:val="000000"/>
        </w:rPr>
        <w:t>Growjo</w:t>
      </w:r>
      <w:proofErr w:type="spellEnd"/>
      <w:r>
        <w:rPr>
          <w:rFonts w:ascii="inter" w:eastAsia="inter" w:hAnsi="inter" w:cs="inter"/>
          <w:color w:val="000000"/>
        </w:rPr>
        <w:t xml:space="preserve">, ZoomInfo, direct competitor mentions; Keyword/SEO tools for digital rankings and visibility (SEMrush); Social listening via </w:t>
      </w:r>
      <w:proofErr w:type="spellStart"/>
      <w:r>
        <w:rPr>
          <w:rFonts w:ascii="inter" w:eastAsia="inter" w:hAnsi="inter" w:cs="inter"/>
          <w:color w:val="000000"/>
        </w:rPr>
        <w:t>Revuze</w:t>
      </w:r>
      <w:proofErr w:type="spellEnd"/>
      <w:r>
        <w:rPr>
          <w:rFonts w:ascii="inter" w:eastAsia="inter" w:hAnsi="inter" w:cs="inter"/>
          <w:color w:val="000000"/>
        </w:rPr>
        <w:t xml:space="preserve"> and branded audience analysis.</w:t>
      </w:r>
    </w:p>
    <w:p w14:paraId="2E2F8707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067D931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05BE2C5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 xml:space="preserve">Confidence for competitor </w:t>
      </w:r>
      <w:proofErr w:type="gramStart"/>
      <w:r>
        <w:rPr>
          <w:rFonts w:ascii="inter" w:eastAsia="inter" w:hAnsi="inter" w:cs="inter"/>
          <w:b/>
          <w:color w:val="000000"/>
        </w:rPr>
        <w:t>referencing</w:t>
      </w:r>
      <w:proofErr w:type="gramEnd"/>
      <w:r>
        <w:rPr>
          <w:rFonts w:ascii="inter" w:eastAsia="inter" w:hAnsi="inter" w:cs="inter"/>
          <w:b/>
          <w:color w:val="000000"/>
        </w:rPr>
        <w:t>: High (industry membership lists, public event rosters, consistent local/national branding).</w:t>
      </w:r>
    </w:p>
    <w:p w14:paraId="1017877F" w14:textId="77777777" w:rsidR="008E6F43" w:rsidRDefault="007B14CF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Recommended next steps:</w:t>
      </w:r>
    </w:p>
    <w:p w14:paraId="71B5C436" w14:textId="77777777" w:rsidR="008E6F43" w:rsidRDefault="007B14CF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Commission SEMrush competitor keyword gap and traffic analysis, plus social listening for brand sentiment comparisons.</w:t>
      </w:r>
    </w:p>
    <w:p w14:paraId="65354AD8" w14:textId="77777777" w:rsidR="008E6F43" w:rsidRDefault="007B14CF">
      <w:pPr>
        <w:numPr>
          <w:ilvl w:val="0"/>
          <w:numId w:val="10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Validate member testimonials and campaign statistics through periodic member follow-up surveys and digital analytics.</w:t>
      </w:r>
      <w:bookmarkStart w:id="40" w:name="fnref14_1"/>
      <w:bookmarkEnd w:id="40"/>
      <w:r>
        <w:fldChar w:fldCharType="begin"/>
      </w:r>
      <w:r>
        <w:instrText>HYPERLINK \l "fn14"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[14]</w:t>
      </w:r>
      <w:r>
        <w:fldChar w:fldCharType="end"/>
      </w:r>
      <w:bookmarkStart w:id="41" w:name="fnref11_1"/>
      <w:bookmarkEnd w:id="41"/>
      <w:r>
        <w:fldChar w:fldCharType="begin"/>
      </w:r>
      <w:r>
        <w:instrText>HYPERLINK \l "fn11"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[11]</w:t>
      </w:r>
      <w:r>
        <w:fldChar w:fldCharType="end"/>
      </w:r>
      <w:bookmarkStart w:id="42" w:name="fnref10_1"/>
      <w:bookmarkEnd w:id="42"/>
      <w:r>
        <w:fldChar w:fldCharType="begin"/>
      </w:r>
      <w:r>
        <w:instrText>HYPERLINK \l "fn10"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[10]</w:t>
      </w:r>
      <w:r>
        <w:fldChar w:fldCharType="end"/>
      </w:r>
      <w:bookmarkStart w:id="43" w:name="fnref7_1"/>
      <w:bookmarkEnd w:id="43"/>
      <w:r>
        <w:fldChar w:fldCharType="begin"/>
      </w:r>
      <w:r>
        <w:instrText>HYPERLINK \l "fn7"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[7]</w:t>
      </w:r>
      <w:r>
        <w:fldChar w:fldCharType="end"/>
      </w:r>
      <w:bookmarkStart w:id="44" w:name="fnref9_3"/>
      <w:bookmarkEnd w:id="44"/>
      <w:r>
        <w:fldChar w:fldCharType="begin"/>
      </w:r>
      <w:r>
        <w:instrText>HYPERLINK \l "fn9" \h</w:instrText>
      </w:r>
      <w:r>
        <w:fldChar w:fldCharType="separate"/>
      </w:r>
      <w:r>
        <w:rPr>
          <w:rFonts w:ascii="inter" w:eastAsia="inter" w:hAnsi="inter" w:cs="inter"/>
          <w:u w:val="single"/>
          <w:vertAlign w:val="superscript"/>
        </w:rPr>
        <w:t>[9]</w:t>
      </w:r>
      <w:r>
        <w:fldChar w:fldCharType="end"/>
      </w:r>
      <w:r>
        <w:rPr>
          <w:rFonts w:ascii="inter" w:eastAsia="inter" w:hAnsi="inter" w:cs="inter"/>
          <w:color w:val="000000"/>
        </w:rPr>
        <w:br/>
      </w:r>
    </w:p>
    <w:p w14:paraId="48852ACB" w14:textId="77777777" w:rsidR="008E6F43" w:rsidRDefault="007B14CF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37C77DEC" w14:textId="77777777" w:rsidR="008E6F43" w:rsidRDefault="007B14CF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11E5A2E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45" w:name="fn1"/>
    <w:bookmarkEnd w:id="45"/>
    <w:p w14:paraId="7B3687D8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"https://www23.statcan.gc.ca/imdb/p3VD.pl?Function=getVD&amp;TVD=118464&amp;CVD=118471&amp;CPV=541910&amp;CST=01012012&amp;CLV=5&amp;MLV=5"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https://www23.statcan.gc.ca/imdb/p3VD.pl?Function=getVD&amp;TVD=118464&amp;CVD=118471&amp;CPV=541910&amp;CST=01012012&amp;CLV=5&amp;MLV=5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6" w:name="fn2"/>
    <w:bookmarkEnd w:id="46"/>
    <w:p w14:paraId="760663C0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"https://www23.statcan.gc.ca/imdb/p3VD.pl?Function=getVD&amp;TVD=1369825&amp;CVD=1370274&amp;CPV=54191&amp;CST=27012022&amp;CLV=4&amp;MLV=5&amp;wbdisable=true"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https://www23.statcan.gc.ca/imdb/p3VD.pl?Function=getVD&amp;TVD=1369825&amp;CVD=1370274&amp;CPV=54191&amp;CST=27012022&amp;CLV=4&amp;MLV=5&amp;wbdisable=true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47" w:name="fn3"/>
    <w:bookmarkEnd w:id="47"/>
    <w:p w14:paraId="6E2DA75F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"https://thecma.ca/membership/companies"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https://thecma.ca/membership/companies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   </w:t>
      </w:r>
    </w:p>
    <w:bookmarkStart w:id="48" w:name="fn4"/>
    <w:bookmarkEnd w:id="48"/>
    <w:p w14:paraId="687AD3A2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lastRenderedPageBreak/>
        <w:fldChar w:fldCharType="begin"/>
      </w:r>
      <w:r>
        <w:instrText>HYPERLINK "https://thecma.ca/awards"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https://thecma.ca/awards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</w:t>
      </w:r>
    </w:p>
    <w:bookmarkStart w:id="49" w:name="fn5"/>
    <w:bookmarkEnd w:id="49"/>
    <w:p w14:paraId="4B15CBE3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"https://growjo.com/company/Canadian_Marketing_Association"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https://growjo.com/company/Canadian_Marketing_Association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50" w:name="fn6"/>
    <w:bookmarkEnd w:id="50"/>
    <w:p w14:paraId="1E3B9BBC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"https://thecma.ca/about/financials"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https://thecma.ca/about/financials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1" w:name="fn7"/>
    <w:bookmarkEnd w:id="51"/>
    <w:p w14:paraId="6FD22DB9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"https://financialpost.com/pmn/business-wire-news-releases-pmn/relevant-advertising-gains-traction-among-canadians-73-per-cent-welcome-tailored-ads-canadian-marketing-association"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https://financialpost.com/pmn/business-wire-news-releases-pmn/relevant-advertising-gains-traction-among-canadians-73-per-cent-welcome-tailored-ads-canadian-marketing-association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52" w:name="fn8"/>
    <w:bookmarkEnd w:id="52"/>
    <w:p w14:paraId="6D30F569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"https://www.industryandbusiness.ca/how-personalized-marketing-transforms-customer-relationships-with-canadian-success-stories/"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https://www.industryandbusiness.ca/how-personalized-marketing-transforms-customer-relationships-with-canadian-success-stories/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3" w:name="fn9"/>
    <w:bookmarkEnd w:id="53"/>
    <w:p w14:paraId="0A43A9DE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"https://thecma.ca"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https://thecma.ca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 </w:t>
      </w:r>
    </w:p>
    <w:bookmarkStart w:id="54" w:name="fn10"/>
    <w:bookmarkEnd w:id="54"/>
    <w:p w14:paraId="60D872B4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"https://www.semrush.com/analytics/keywordgap/"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https://www.semrush.com/analytics/keywordgap/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55" w:name="fn11"/>
    <w:bookmarkEnd w:id="55"/>
    <w:p w14:paraId="6AB5410C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"https://www.semrush.com/kb/28-keyword-gap"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https://www.semrush.com/kb/28-keyword-gap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56" w:name="fn12"/>
    <w:bookmarkEnd w:id="56"/>
    <w:p w14:paraId="468D6B82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"https://www.revuze.it/blog/best-customer-feedback-analysis-tools/"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https://www.revuze.it/blog/best-customer-feedback-analysis-tools/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7" w:name="fn13"/>
    <w:bookmarkEnd w:id="57"/>
    <w:p w14:paraId="3A62479F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"https://www.revuze.it/blog/sentiment-analysis/"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https://www.revuze.it/blog/sentiment-analysis/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58" w:name="fn14"/>
    <w:bookmarkEnd w:id="58"/>
    <w:p w14:paraId="67628017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"https://slashdot.org/software/sentiment-analysis/in-canada/"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https://slashdot.org/software/sentiment-analysis/in-canada/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</w:t>
      </w:r>
    </w:p>
    <w:bookmarkStart w:id="59" w:name="fn15"/>
    <w:bookmarkEnd w:id="59"/>
    <w:p w14:paraId="48D8F0AF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"https://marketingnewscanada.com/news/the-13-marketing-advertising-communication-amp-pr-clubs-and-associations-in-canada-you-need-to-know"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https://marketingnewscanada.com/news/the-13-marketing-advertising-communication-amp-pr-clubs-and-associations-in-canada-you-need-to-know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  </w:t>
      </w:r>
    </w:p>
    <w:bookmarkStart w:id="60" w:name="fn16"/>
    <w:bookmarkEnd w:id="60"/>
    <w:p w14:paraId="45964CDB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"https://www.linkedin.com/company/canadian-marketing-association"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https://www.linkedin.com/company/canadian-marketing-association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1" w:name="fn17"/>
    <w:bookmarkEnd w:id="61"/>
    <w:p w14:paraId="320F3AE3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"https://www.zoominfo.com/c/canadian-marketing-association/29642882"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https://www.zoominfo.com/c/canadian-marketing-association/29642882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2" w:name="fn18"/>
    <w:bookmarkEnd w:id="62"/>
    <w:p w14:paraId="0D52DB54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"https://www.zoominfo.com/c/canadian-marketing-association/27497477"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https://www.zoominfo.com/c/canadian-marketing-association/27497477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3" w:name="fn19"/>
    <w:bookmarkEnd w:id="63"/>
    <w:p w14:paraId="3EB4D638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"https://www.cbinsights.com/company/canadian-produce-marketing-association/alternatives-competitors"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https://www.cbinsights.com/company/canadian-produce-marketing-association/alternatives-competitors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4" w:name="fn20"/>
    <w:bookmarkEnd w:id="64"/>
    <w:p w14:paraId="3A8AFEBB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"https://www.ibisworld.com/canada/"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https://www.ibisworld.com/canada/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5" w:name="fn21"/>
    <w:bookmarkEnd w:id="65"/>
    <w:p w14:paraId="015B245A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"https://www.ibisworld.com/canada/industry/market-research/1442/"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https://www.ibisworld.com/canada/industry/market-research/1442/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6" w:name="fn22"/>
    <w:bookmarkEnd w:id="66"/>
    <w:p w14:paraId="208E5110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"https://ca.linkedin.com/company/canadian-marketing-association"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https://ca.linkedin.com/company/canadian-marketing-association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7" w:name="fn23"/>
    <w:bookmarkEnd w:id="67"/>
    <w:p w14:paraId="0EC8876B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"https://www.naics.com/wp-content/uploads/2014/10/How_to_Use_NAICS_SIC_Codes_for_Marketing_NAICSAssociation.pdf"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https://www.naics.com/wp-content/uploads/2014/10/How_to_Use_NAICS_SIC_Codes_for_Marketing_NAICSAssociation.pdf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8" w:name="fn24"/>
    <w:bookmarkEnd w:id="68"/>
    <w:p w14:paraId="3DFFC01E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lastRenderedPageBreak/>
        <w:fldChar w:fldCharType="begin"/>
      </w:r>
      <w:r>
        <w:instrText>HYPERLINK "https://www.ibisworld.com"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https://www.ibisworld.com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69" w:name="fn25"/>
    <w:bookmarkEnd w:id="69"/>
    <w:p w14:paraId="177A0F7D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"https://thecma.ca"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https://thecma.ca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0" w:name="fn26"/>
    <w:bookmarkEnd w:id="70"/>
    <w:p w14:paraId="40B0DC44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"https://www.ibisworld.com/canada/industry/advertising-agencies/1433/"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https://www.ibisworld.com/canada/industry/advertising-agencies/1433/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1" w:name="fn27"/>
    <w:bookmarkEnd w:id="71"/>
    <w:p w14:paraId="5BFEFCD6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"https://www.ibisworld.com/blog/financial-benchmarking/99/1127/"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https://www.ibisworld.com/blog/financial-benchmarking/99/1127/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2" w:name="fn28"/>
    <w:bookmarkEnd w:id="72"/>
    <w:p w14:paraId="6036794E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"https://www.naics.com/search/"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https://www.naics.com/search/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3" w:name="fn29"/>
    <w:bookmarkEnd w:id="73"/>
    <w:p w14:paraId="24D87DD4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"https://publications.gc.ca/collections/collection_2024/statcan/12-501-x-2022001-eng.pdf"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https://publications.gc.ca/collections/collection_2024/statcan/12-501-x-2022001-eng.pdf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4" w:name="fn30"/>
    <w:bookmarkEnd w:id="74"/>
    <w:p w14:paraId="205FF55A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"https://www.similarweb.com/blog/research/business-benchmarking/financial-services-benchmarks/"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https://www.similarweb.com/blog/research/business-benchmarking/financial-services-benchmarks/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5" w:name="fn31"/>
    <w:bookmarkEnd w:id="75"/>
    <w:p w14:paraId="1C542E2D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"https://www.revuze.it/blog/sentiment-analysis-using-product-review-data/"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https://www.revuze.it/blog/sentiment-analysis-using-product-review-data/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6" w:name="fn32"/>
    <w:bookmarkEnd w:id="76"/>
    <w:p w14:paraId="647C3BD4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"https://www.revuze.it/blog/what-is-sentiment-analysis-and-why-does-it-matter/"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https://www.revuze.it/blog/what-is-sentiment-analysis-and-why-does-it-matter/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7" w:name="fn33"/>
    <w:bookmarkEnd w:id="77"/>
    <w:p w14:paraId="0D1018CC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"https://www.revuze.it/blog/reviews-sentiment-analysis-buyer-journey/"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https://www.revuze.it/blog/reviews-sentiment-analysis-buyer-journey/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8" w:name="fn34"/>
    <w:bookmarkEnd w:id="78"/>
    <w:p w14:paraId="3D940959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"https://blog.nextinymarketing.com/how-to-use-semrushs-keyword-gap-tool-to-outrank-local-competitors"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https://blog.nextinymarketing.com/how-to-use-semrushs-keyword-gap-tool-to-outrank-local-competitors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79" w:name="fn35"/>
    <w:bookmarkEnd w:id="79"/>
    <w:p w14:paraId="733780DB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"https://digitalcommerce.com/content-marketing-case-studies/"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https://digitalcommerce.com/content-marketing-case-studies/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0" w:name="fn36"/>
    <w:bookmarkEnd w:id="80"/>
    <w:p w14:paraId="3357567C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"https://www.revuze.it/blog/all-the-dirt-on-sentiment-analysis-on-social-media-how-to-do-it-which-tools-and-how-to-win/"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https://www.revuze.it/blog/all-the-dirt-on-sentiment-analysis-on-social-media-how-to-do-it-which-tools-and-how-to-win/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1" w:name="fn37"/>
    <w:bookmarkEnd w:id="81"/>
    <w:p w14:paraId="389D8F84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"https://www.youtube.com/watch?v=aD4PCKN8tZ8"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https://www.youtube.com/watch?v=aD4PCKN8tZ8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2" w:name="fn38"/>
    <w:bookmarkEnd w:id="82"/>
    <w:p w14:paraId="0F9784D6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"https://beanstalk-growth.com/why-us-businesses-are-turning-to-canadian-marketing-agencies/"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https://beanstalk-growth.com/why-us-businesses-are-turning-to-canadian-marketing-agencies/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3" w:name="fn39"/>
    <w:bookmarkEnd w:id="83"/>
    <w:p w14:paraId="42CFBCF7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4" w:name="fn40"/>
    <w:bookmarkEnd w:id="84"/>
    <w:p w14:paraId="3691248D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"https://www.industryandbusiness.ca/smart-personalization-drives-85-higher-customer-engagement-canadian-success-stories/"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https://www.industryandbusiness.ca/smart-personalization-drives-85-higher-customer-engagement-canadian-success-stories/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5" w:name="fn41"/>
    <w:bookmarkEnd w:id="85"/>
    <w:p w14:paraId="7934005F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"https://www.revuze.it/blog/psychology-purchasing-importance-understanding-online-reviews/"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https://www.revuze.it/blog/psychology-purchasing-importance-understanding-online-reviews/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6" w:name="fn42"/>
    <w:bookmarkEnd w:id="86"/>
    <w:p w14:paraId="5AFF43D5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"https://assetdigitalcom.com/blog/seo-competitor-analysis-guide/"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https://assetdigitalcom.com/blog/seo-competitor-analysis-guide/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bookmarkStart w:id="87" w:name="fn43"/>
    <w:bookmarkEnd w:id="87"/>
    <w:p w14:paraId="0DDA1E05" w14:textId="77777777" w:rsidR="008E6F43" w:rsidRDefault="007B14CF">
      <w:pPr>
        <w:numPr>
          <w:ilvl w:val="0"/>
          <w:numId w:val="12"/>
        </w:numPr>
        <w:spacing w:after="210" w:line="360" w:lineRule="auto"/>
      </w:pPr>
      <w:r>
        <w:fldChar w:fldCharType="begin"/>
      </w:r>
      <w:r>
        <w:instrText>HYPERLINK "https://sourceforge.net/software/sentiment-analysis/canada/" \h</w:instrText>
      </w:r>
      <w:r>
        <w:fldChar w:fldCharType="separate"/>
      </w:r>
      <w:r>
        <w:rPr>
          <w:rFonts w:ascii="inter" w:eastAsia="inter" w:hAnsi="inter" w:cs="inter"/>
          <w:sz w:val="18"/>
          <w:u w:val="single"/>
        </w:rPr>
        <w:t>https://sourceforge.net/software/sentiment-analysis/canada/</w:t>
      </w:r>
      <w:r>
        <w:fldChar w:fldCharType="end"/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8E6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53D7" w14:textId="77777777" w:rsidR="007B14CF" w:rsidRDefault="007B14CF" w:rsidP="007B14CF">
      <w:pPr>
        <w:spacing w:after="0" w:line="240" w:lineRule="auto"/>
      </w:pPr>
      <w:r>
        <w:separator/>
      </w:r>
    </w:p>
  </w:endnote>
  <w:endnote w:type="continuationSeparator" w:id="0">
    <w:p w14:paraId="2BF4BA13" w14:textId="77777777" w:rsidR="007B14CF" w:rsidRDefault="007B14CF" w:rsidP="007B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DF2A" w14:textId="77777777" w:rsidR="007B14CF" w:rsidRDefault="007B14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6FC6" w14:textId="77777777" w:rsidR="007B14CF" w:rsidRDefault="007B1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EACD" w14:textId="77777777" w:rsidR="007B14CF" w:rsidRDefault="007B1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BF29" w14:textId="77777777" w:rsidR="007B14CF" w:rsidRDefault="007B14CF" w:rsidP="007B14CF">
      <w:pPr>
        <w:spacing w:after="0" w:line="240" w:lineRule="auto"/>
      </w:pPr>
      <w:r>
        <w:separator/>
      </w:r>
    </w:p>
  </w:footnote>
  <w:footnote w:type="continuationSeparator" w:id="0">
    <w:p w14:paraId="5C48DC83" w14:textId="77777777" w:rsidR="007B14CF" w:rsidRDefault="007B14CF" w:rsidP="007B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57BB" w14:textId="77777777" w:rsidR="007B14CF" w:rsidRDefault="007B1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D9E4" w14:textId="4D6AF225" w:rsidR="007B14CF" w:rsidRDefault="007B14CF" w:rsidP="007B14CF">
    <w:pPr>
      <w:pStyle w:val="Header"/>
      <w:jc w:val="center"/>
    </w:pPr>
    <w:r>
      <w:rPr>
        <w:noProof/>
      </w:rPr>
      <w:drawing>
        <wp:inline distT="0" distB="0" distL="0" distR="0" wp14:anchorId="1AD84C23" wp14:editId="30345EE9">
          <wp:extent cx="952381" cy="977778"/>
          <wp:effectExtent l="0" t="0" r="0" b="0"/>
          <wp:docPr id="1885648185" name="Picture 1" descr="A colorful logo with a whit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648185" name="Picture 1" descr="A colorful logo with a white circl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381" cy="97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C7FF" w14:textId="77777777" w:rsidR="007B14CF" w:rsidRDefault="007B1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E40"/>
    <w:multiLevelType w:val="hybridMultilevel"/>
    <w:tmpl w:val="443C007C"/>
    <w:lvl w:ilvl="0" w:tplc="EE2EF02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BAFC1C">
      <w:numFmt w:val="decimal"/>
      <w:lvlText w:val=""/>
      <w:lvlJc w:val="left"/>
    </w:lvl>
    <w:lvl w:ilvl="2" w:tplc="5A6A1A64">
      <w:numFmt w:val="decimal"/>
      <w:lvlText w:val=""/>
      <w:lvlJc w:val="left"/>
    </w:lvl>
    <w:lvl w:ilvl="3" w:tplc="B9FA42E2">
      <w:numFmt w:val="decimal"/>
      <w:lvlText w:val=""/>
      <w:lvlJc w:val="left"/>
    </w:lvl>
    <w:lvl w:ilvl="4" w:tplc="48A08F84">
      <w:numFmt w:val="decimal"/>
      <w:lvlText w:val=""/>
      <w:lvlJc w:val="left"/>
    </w:lvl>
    <w:lvl w:ilvl="5" w:tplc="2AAC874C">
      <w:numFmt w:val="decimal"/>
      <w:lvlText w:val=""/>
      <w:lvlJc w:val="left"/>
    </w:lvl>
    <w:lvl w:ilvl="6" w:tplc="E8BAD04E">
      <w:numFmt w:val="decimal"/>
      <w:lvlText w:val=""/>
      <w:lvlJc w:val="left"/>
    </w:lvl>
    <w:lvl w:ilvl="7" w:tplc="E15C3D4C">
      <w:numFmt w:val="decimal"/>
      <w:lvlText w:val=""/>
      <w:lvlJc w:val="left"/>
    </w:lvl>
    <w:lvl w:ilvl="8" w:tplc="D56E9846">
      <w:numFmt w:val="decimal"/>
      <w:lvlText w:val=""/>
      <w:lvlJc w:val="left"/>
    </w:lvl>
  </w:abstractNum>
  <w:abstractNum w:abstractNumId="1" w15:restartNumberingAfterBreak="0">
    <w:nsid w:val="129E5B3C"/>
    <w:multiLevelType w:val="hybridMultilevel"/>
    <w:tmpl w:val="C0FE6090"/>
    <w:lvl w:ilvl="0" w:tplc="067874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B4D9F6">
      <w:numFmt w:val="decimal"/>
      <w:lvlText w:val=""/>
      <w:lvlJc w:val="left"/>
    </w:lvl>
    <w:lvl w:ilvl="2" w:tplc="49FA6026">
      <w:numFmt w:val="decimal"/>
      <w:lvlText w:val=""/>
      <w:lvlJc w:val="left"/>
    </w:lvl>
    <w:lvl w:ilvl="3" w:tplc="054E057C">
      <w:numFmt w:val="decimal"/>
      <w:lvlText w:val=""/>
      <w:lvlJc w:val="left"/>
    </w:lvl>
    <w:lvl w:ilvl="4" w:tplc="B9ACA512">
      <w:numFmt w:val="decimal"/>
      <w:lvlText w:val=""/>
      <w:lvlJc w:val="left"/>
    </w:lvl>
    <w:lvl w:ilvl="5" w:tplc="4860065A">
      <w:numFmt w:val="decimal"/>
      <w:lvlText w:val=""/>
      <w:lvlJc w:val="left"/>
    </w:lvl>
    <w:lvl w:ilvl="6" w:tplc="F7645826">
      <w:numFmt w:val="decimal"/>
      <w:lvlText w:val=""/>
      <w:lvlJc w:val="left"/>
    </w:lvl>
    <w:lvl w:ilvl="7" w:tplc="23B2E32E">
      <w:numFmt w:val="decimal"/>
      <w:lvlText w:val=""/>
      <w:lvlJc w:val="left"/>
    </w:lvl>
    <w:lvl w:ilvl="8" w:tplc="DE8430C6">
      <w:numFmt w:val="decimal"/>
      <w:lvlText w:val=""/>
      <w:lvlJc w:val="left"/>
    </w:lvl>
  </w:abstractNum>
  <w:abstractNum w:abstractNumId="2" w15:restartNumberingAfterBreak="0">
    <w:nsid w:val="13AB3EF2"/>
    <w:multiLevelType w:val="hybridMultilevel"/>
    <w:tmpl w:val="F9446AFC"/>
    <w:lvl w:ilvl="0" w:tplc="D892D8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0A857AC">
      <w:numFmt w:val="decimal"/>
      <w:lvlText w:val=""/>
      <w:lvlJc w:val="left"/>
    </w:lvl>
    <w:lvl w:ilvl="2" w:tplc="EFEE0A44">
      <w:numFmt w:val="decimal"/>
      <w:lvlText w:val=""/>
      <w:lvlJc w:val="left"/>
    </w:lvl>
    <w:lvl w:ilvl="3" w:tplc="1AA20B08">
      <w:numFmt w:val="decimal"/>
      <w:lvlText w:val=""/>
      <w:lvlJc w:val="left"/>
    </w:lvl>
    <w:lvl w:ilvl="4" w:tplc="B57A8D82">
      <w:numFmt w:val="decimal"/>
      <w:lvlText w:val=""/>
      <w:lvlJc w:val="left"/>
    </w:lvl>
    <w:lvl w:ilvl="5" w:tplc="54B401DE">
      <w:numFmt w:val="decimal"/>
      <w:lvlText w:val=""/>
      <w:lvlJc w:val="left"/>
    </w:lvl>
    <w:lvl w:ilvl="6" w:tplc="2070D200">
      <w:numFmt w:val="decimal"/>
      <w:lvlText w:val=""/>
      <w:lvlJc w:val="left"/>
    </w:lvl>
    <w:lvl w:ilvl="7" w:tplc="0A3851A8">
      <w:numFmt w:val="decimal"/>
      <w:lvlText w:val=""/>
      <w:lvlJc w:val="left"/>
    </w:lvl>
    <w:lvl w:ilvl="8" w:tplc="E938CD12">
      <w:numFmt w:val="decimal"/>
      <w:lvlText w:val=""/>
      <w:lvlJc w:val="left"/>
    </w:lvl>
  </w:abstractNum>
  <w:abstractNum w:abstractNumId="3" w15:restartNumberingAfterBreak="0">
    <w:nsid w:val="29C0695C"/>
    <w:multiLevelType w:val="hybridMultilevel"/>
    <w:tmpl w:val="637C0A50"/>
    <w:lvl w:ilvl="0" w:tplc="0B2633FA">
      <w:numFmt w:val="decimal"/>
      <w:lvlText w:val=""/>
      <w:lvlJc w:val="left"/>
    </w:lvl>
    <w:lvl w:ilvl="1" w:tplc="80BE9412">
      <w:numFmt w:val="decimal"/>
      <w:lvlText w:val=""/>
      <w:lvlJc w:val="left"/>
    </w:lvl>
    <w:lvl w:ilvl="2" w:tplc="03563FD8">
      <w:numFmt w:val="decimal"/>
      <w:lvlText w:val=""/>
      <w:lvlJc w:val="left"/>
    </w:lvl>
    <w:lvl w:ilvl="3" w:tplc="CF56A3B4">
      <w:numFmt w:val="decimal"/>
      <w:lvlText w:val=""/>
      <w:lvlJc w:val="left"/>
    </w:lvl>
    <w:lvl w:ilvl="4" w:tplc="AC000FAA">
      <w:numFmt w:val="decimal"/>
      <w:lvlText w:val=""/>
      <w:lvlJc w:val="left"/>
    </w:lvl>
    <w:lvl w:ilvl="5" w:tplc="326A7B9C">
      <w:numFmt w:val="decimal"/>
      <w:lvlText w:val=""/>
      <w:lvlJc w:val="left"/>
    </w:lvl>
    <w:lvl w:ilvl="6" w:tplc="6C0C6F8E">
      <w:numFmt w:val="decimal"/>
      <w:lvlText w:val=""/>
      <w:lvlJc w:val="left"/>
    </w:lvl>
    <w:lvl w:ilvl="7" w:tplc="2F3A39F6">
      <w:numFmt w:val="decimal"/>
      <w:lvlText w:val=""/>
      <w:lvlJc w:val="left"/>
    </w:lvl>
    <w:lvl w:ilvl="8" w:tplc="17C2BCB2">
      <w:numFmt w:val="decimal"/>
      <w:lvlText w:val=""/>
      <w:lvlJc w:val="left"/>
    </w:lvl>
  </w:abstractNum>
  <w:abstractNum w:abstractNumId="4" w15:restartNumberingAfterBreak="0">
    <w:nsid w:val="2FDA095D"/>
    <w:multiLevelType w:val="hybridMultilevel"/>
    <w:tmpl w:val="B3263138"/>
    <w:lvl w:ilvl="0" w:tplc="8182DD3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38C1AB0">
      <w:numFmt w:val="decimal"/>
      <w:lvlText w:val=""/>
      <w:lvlJc w:val="left"/>
    </w:lvl>
    <w:lvl w:ilvl="2" w:tplc="129E78EC">
      <w:numFmt w:val="decimal"/>
      <w:lvlText w:val=""/>
      <w:lvlJc w:val="left"/>
    </w:lvl>
    <w:lvl w:ilvl="3" w:tplc="50E83A3C">
      <w:numFmt w:val="decimal"/>
      <w:lvlText w:val=""/>
      <w:lvlJc w:val="left"/>
    </w:lvl>
    <w:lvl w:ilvl="4" w:tplc="7122A1F2">
      <w:numFmt w:val="decimal"/>
      <w:lvlText w:val=""/>
      <w:lvlJc w:val="left"/>
    </w:lvl>
    <w:lvl w:ilvl="5" w:tplc="434409E4">
      <w:numFmt w:val="decimal"/>
      <w:lvlText w:val=""/>
      <w:lvlJc w:val="left"/>
    </w:lvl>
    <w:lvl w:ilvl="6" w:tplc="D108D67C">
      <w:numFmt w:val="decimal"/>
      <w:lvlText w:val=""/>
      <w:lvlJc w:val="left"/>
    </w:lvl>
    <w:lvl w:ilvl="7" w:tplc="FEA22114">
      <w:numFmt w:val="decimal"/>
      <w:lvlText w:val=""/>
      <w:lvlJc w:val="left"/>
    </w:lvl>
    <w:lvl w:ilvl="8" w:tplc="73CAAA08">
      <w:numFmt w:val="decimal"/>
      <w:lvlText w:val=""/>
      <w:lvlJc w:val="left"/>
    </w:lvl>
  </w:abstractNum>
  <w:abstractNum w:abstractNumId="5" w15:restartNumberingAfterBreak="0">
    <w:nsid w:val="38112993"/>
    <w:multiLevelType w:val="hybridMultilevel"/>
    <w:tmpl w:val="4D7E628C"/>
    <w:lvl w:ilvl="0" w:tplc="30C449C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10D38E">
      <w:numFmt w:val="decimal"/>
      <w:lvlText w:val=""/>
      <w:lvlJc w:val="left"/>
    </w:lvl>
    <w:lvl w:ilvl="2" w:tplc="8CF65810">
      <w:numFmt w:val="decimal"/>
      <w:lvlText w:val=""/>
      <w:lvlJc w:val="left"/>
    </w:lvl>
    <w:lvl w:ilvl="3" w:tplc="D8FCE938">
      <w:numFmt w:val="decimal"/>
      <w:lvlText w:val=""/>
      <w:lvlJc w:val="left"/>
    </w:lvl>
    <w:lvl w:ilvl="4" w:tplc="BDE6B938">
      <w:numFmt w:val="decimal"/>
      <w:lvlText w:val=""/>
      <w:lvlJc w:val="left"/>
    </w:lvl>
    <w:lvl w:ilvl="5" w:tplc="3D96FE46">
      <w:numFmt w:val="decimal"/>
      <w:lvlText w:val=""/>
      <w:lvlJc w:val="left"/>
    </w:lvl>
    <w:lvl w:ilvl="6" w:tplc="85F809D8">
      <w:numFmt w:val="decimal"/>
      <w:lvlText w:val=""/>
      <w:lvlJc w:val="left"/>
    </w:lvl>
    <w:lvl w:ilvl="7" w:tplc="266C8136">
      <w:numFmt w:val="decimal"/>
      <w:lvlText w:val=""/>
      <w:lvlJc w:val="left"/>
    </w:lvl>
    <w:lvl w:ilvl="8" w:tplc="6D76D56E">
      <w:numFmt w:val="decimal"/>
      <w:lvlText w:val=""/>
      <w:lvlJc w:val="left"/>
    </w:lvl>
  </w:abstractNum>
  <w:abstractNum w:abstractNumId="6" w15:restartNumberingAfterBreak="0">
    <w:nsid w:val="39FE0DCA"/>
    <w:multiLevelType w:val="hybridMultilevel"/>
    <w:tmpl w:val="3CE8EED8"/>
    <w:lvl w:ilvl="0" w:tplc="77C8B4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420C92">
      <w:numFmt w:val="decimal"/>
      <w:lvlText w:val=""/>
      <w:lvlJc w:val="left"/>
    </w:lvl>
    <w:lvl w:ilvl="2" w:tplc="82009934">
      <w:numFmt w:val="decimal"/>
      <w:lvlText w:val=""/>
      <w:lvlJc w:val="left"/>
    </w:lvl>
    <w:lvl w:ilvl="3" w:tplc="105C0AE2">
      <w:numFmt w:val="decimal"/>
      <w:lvlText w:val=""/>
      <w:lvlJc w:val="left"/>
    </w:lvl>
    <w:lvl w:ilvl="4" w:tplc="DD8AB2C0">
      <w:numFmt w:val="decimal"/>
      <w:lvlText w:val=""/>
      <w:lvlJc w:val="left"/>
    </w:lvl>
    <w:lvl w:ilvl="5" w:tplc="16D8C732">
      <w:numFmt w:val="decimal"/>
      <w:lvlText w:val=""/>
      <w:lvlJc w:val="left"/>
    </w:lvl>
    <w:lvl w:ilvl="6" w:tplc="6780FCC0">
      <w:numFmt w:val="decimal"/>
      <w:lvlText w:val=""/>
      <w:lvlJc w:val="left"/>
    </w:lvl>
    <w:lvl w:ilvl="7" w:tplc="DD966F22">
      <w:numFmt w:val="decimal"/>
      <w:lvlText w:val=""/>
      <w:lvlJc w:val="left"/>
    </w:lvl>
    <w:lvl w:ilvl="8" w:tplc="0C94EE2E">
      <w:numFmt w:val="decimal"/>
      <w:lvlText w:val=""/>
      <w:lvlJc w:val="left"/>
    </w:lvl>
  </w:abstractNum>
  <w:abstractNum w:abstractNumId="7" w15:restartNumberingAfterBreak="0">
    <w:nsid w:val="4B2D3772"/>
    <w:multiLevelType w:val="hybridMultilevel"/>
    <w:tmpl w:val="A8AA2634"/>
    <w:lvl w:ilvl="0" w:tplc="09E055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A62BC4E">
      <w:numFmt w:val="decimal"/>
      <w:lvlText w:val=""/>
      <w:lvlJc w:val="left"/>
    </w:lvl>
    <w:lvl w:ilvl="2" w:tplc="920E88E6">
      <w:numFmt w:val="decimal"/>
      <w:lvlText w:val=""/>
      <w:lvlJc w:val="left"/>
    </w:lvl>
    <w:lvl w:ilvl="3" w:tplc="7BE8D25E">
      <w:numFmt w:val="decimal"/>
      <w:lvlText w:val=""/>
      <w:lvlJc w:val="left"/>
    </w:lvl>
    <w:lvl w:ilvl="4" w:tplc="D88AB662">
      <w:numFmt w:val="decimal"/>
      <w:lvlText w:val=""/>
      <w:lvlJc w:val="left"/>
    </w:lvl>
    <w:lvl w:ilvl="5" w:tplc="64B846CA">
      <w:numFmt w:val="decimal"/>
      <w:lvlText w:val=""/>
      <w:lvlJc w:val="left"/>
    </w:lvl>
    <w:lvl w:ilvl="6" w:tplc="23EA4A40">
      <w:numFmt w:val="decimal"/>
      <w:lvlText w:val=""/>
      <w:lvlJc w:val="left"/>
    </w:lvl>
    <w:lvl w:ilvl="7" w:tplc="D06A0430">
      <w:numFmt w:val="decimal"/>
      <w:lvlText w:val=""/>
      <w:lvlJc w:val="left"/>
    </w:lvl>
    <w:lvl w:ilvl="8" w:tplc="E6505142">
      <w:numFmt w:val="decimal"/>
      <w:lvlText w:val=""/>
      <w:lvlJc w:val="left"/>
    </w:lvl>
  </w:abstractNum>
  <w:abstractNum w:abstractNumId="8" w15:restartNumberingAfterBreak="0">
    <w:nsid w:val="68BB1CCB"/>
    <w:multiLevelType w:val="hybridMultilevel"/>
    <w:tmpl w:val="8182C6A2"/>
    <w:lvl w:ilvl="0" w:tplc="C07CC9B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83EDC3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DCA3996">
      <w:numFmt w:val="decimal"/>
      <w:lvlText w:val=""/>
      <w:lvlJc w:val="left"/>
    </w:lvl>
    <w:lvl w:ilvl="3" w:tplc="A6F0CC0A">
      <w:numFmt w:val="decimal"/>
      <w:lvlText w:val=""/>
      <w:lvlJc w:val="left"/>
    </w:lvl>
    <w:lvl w:ilvl="4" w:tplc="53E03ED8">
      <w:numFmt w:val="decimal"/>
      <w:lvlText w:val=""/>
      <w:lvlJc w:val="left"/>
    </w:lvl>
    <w:lvl w:ilvl="5" w:tplc="6B1EB95C">
      <w:numFmt w:val="decimal"/>
      <w:lvlText w:val=""/>
      <w:lvlJc w:val="left"/>
    </w:lvl>
    <w:lvl w:ilvl="6" w:tplc="9ED27534">
      <w:numFmt w:val="decimal"/>
      <w:lvlText w:val=""/>
      <w:lvlJc w:val="left"/>
    </w:lvl>
    <w:lvl w:ilvl="7" w:tplc="C86426C6">
      <w:numFmt w:val="decimal"/>
      <w:lvlText w:val=""/>
      <w:lvlJc w:val="left"/>
    </w:lvl>
    <w:lvl w:ilvl="8" w:tplc="02A0169E">
      <w:numFmt w:val="decimal"/>
      <w:lvlText w:val=""/>
      <w:lvlJc w:val="left"/>
    </w:lvl>
  </w:abstractNum>
  <w:abstractNum w:abstractNumId="9" w15:restartNumberingAfterBreak="0">
    <w:nsid w:val="7876256A"/>
    <w:multiLevelType w:val="hybridMultilevel"/>
    <w:tmpl w:val="155A7A2E"/>
    <w:lvl w:ilvl="0" w:tplc="95DC9BB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BF6532E">
      <w:numFmt w:val="decimal"/>
      <w:lvlText w:val=""/>
      <w:lvlJc w:val="left"/>
    </w:lvl>
    <w:lvl w:ilvl="2" w:tplc="680646A6">
      <w:numFmt w:val="decimal"/>
      <w:lvlText w:val=""/>
      <w:lvlJc w:val="left"/>
    </w:lvl>
    <w:lvl w:ilvl="3" w:tplc="9BF23858">
      <w:numFmt w:val="decimal"/>
      <w:lvlText w:val=""/>
      <w:lvlJc w:val="left"/>
    </w:lvl>
    <w:lvl w:ilvl="4" w:tplc="18F245FC">
      <w:numFmt w:val="decimal"/>
      <w:lvlText w:val=""/>
      <w:lvlJc w:val="left"/>
    </w:lvl>
    <w:lvl w:ilvl="5" w:tplc="3B72F3BE">
      <w:numFmt w:val="decimal"/>
      <w:lvlText w:val=""/>
      <w:lvlJc w:val="left"/>
    </w:lvl>
    <w:lvl w:ilvl="6" w:tplc="7D0A817A">
      <w:numFmt w:val="decimal"/>
      <w:lvlText w:val=""/>
      <w:lvlJc w:val="left"/>
    </w:lvl>
    <w:lvl w:ilvl="7" w:tplc="A2AAF5AA">
      <w:numFmt w:val="decimal"/>
      <w:lvlText w:val=""/>
      <w:lvlJc w:val="left"/>
    </w:lvl>
    <w:lvl w:ilvl="8" w:tplc="3426FDC4">
      <w:numFmt w:val="decimal"/>
      <w:lvlText w:val=""/>
      <w:lvlJc w:val="left"/>
    </w:lvl>
  </w:abstractNum>
  <w:abstractNum w:abstractNumId="10" w15:restartNumberingAfterBreak="0">
    <w:nsid w:val="7E054747"/>
    <w:multiLevelType w:val="hybridMultilevel"/>
    <w:tmpl w:val="648A5B4C"/>
    <w:lvl w:ilvl="0" w:tplc="F54E6D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23A6354">
      <w:numFmt w:val="decimal"/>
      <w:lvlText w:val=""/>
      <w:lvlJc w:val="left"/>
    </w:lvl>
    <w:lvl w:ilvl="2" w:tplc="0D3C1FAE">
      <w:numFmt w:val="decimal"/>
      <w:lvlText w:val=""/>
      <w:lvlJc w:val="left"/>
    </w:lvl>
    <w:lvl w:ilvl="3" w:tplc="D2A0D540">
      <w:numFmt w:val="decimal"/>
      <w:lvlText w:val=""/>
      <w:lvlJc w:val="left"/>
    </w:lvl>
    <w:lvl w:ilvl="4" w:tplc="701ED33A">
      <w:numFmt w:val="decimal"/>
      <w:lvlText w:val=""/>
      <w:lvlJc w:val="left"/>
    </w:lvl>
    <w:lvl w:ilvl="5" w:tplc="10F25B84">
      <w:numFmt w:val="decimal"/>
      <w:lvlText w:val=""/>
      <w:lvlJc w:val="left"/>
    </w:lvl>
    <w:lvl w:ilvl="6" w:tplc="35FC7AE6">
      <w:numFmt w:val="decimal"/>
      <w:lvlText w:val=""/>
      <w:lvlJc w:val="left"/>
    </w:lvl>
    <w:lvl w:ilvl="7" w:tplc="5A06242A">
      <w:numFmt w:val="decimal"/>
      <w:lvlText w:val=""/>
      <w:lvlJc w:val="left"/>
    </w:lvl>
    <w:lvl w:ilvl="8" w:tplc="AFACDE8C">
      <w:numFmt w:val="decimal"/>
      <w:lvlText w:val=""/>
      <w:lvlJc w:val="left"/>
    </w:lvl>
  </w:abstractNum>
  <w:abstractNum w:abstractNumId="11" w15:restartNumberingAfterBreak="0">
    <w:nsid w:val="7EA30C9D"/>
    <w:multiLevelType w:val="hybridMultilevel"/>
    <w:tmpl w:val="2BB2C952"/>
    <w:lvl w:ilvl="0" w:tplc="E698E37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BF45E50">
      <w:numFmt w:val="decimal"/>
      <w:lvlText w:val=""/>
      <w:lvlJc w:val="left"/>
    </w:lvl>
    <w:lvl w:ilvl="2" w:tplc="98C693DE">
      <w:numFmt w:val="decimal"/>
      <w:lvlText w:val=""/>
      <w:lvlJc w:val="left"/>
    </w:lvl>
    <w:lvl w:ilvl="3" w:tplc="2A1CC434">
      <w:numFmt w:val="decimal"/>
      <w:lvlText w:val=""/>
      <w:lvlJc w:val="left"/>
    </w:lvl>
    <w:lvl w:ilvl="4" w:tplc="BA281652">
      <w:numFmt w:val="decimal"/>
      <w:lvlText w:val=""/>
      <w:lvlJc w:val="left"/>
    </w:lvl>
    <w:lvl w:ilvl="5" w:tplc="BF7A6688">
      <w:numFmt w:val="decimal"/>
      <w:lvlText w:val=""/>
      <w:lvlJc w:val="left"/>
    </w:lvl>
    <w:lvl w:ilvl="6" w:tplc="06623456">
      <w:numFmt w:val="decimal"/>
      <w:lvlText w:val=""/>
      <w:lvlJc w:val="left"/>
    </w:lvl>
    <w:lvl w:ilvl="7" w:tplc="301E3746">
      <w:numFmt w:val="decimal"/>
      <w:lvlText w:val=""/>
      <w:lvlJc w:val="left"/>
    </w:lvl>
    <w:lvl w:ilvl="8" w:tplc="F55690A2">
      <w:numFmt w:val="decimal"/>
      <w:lvlText w:val=""/>
      <w:lvlJc w:val="left"/>
    </w:lvl>
  </w:abstractNum>
  <w:num w:numId="1" w16cid:durableId="119498670">
    <w:abstractNumId w:val="8"/>
  </w:num>
  <w:num w:numId="2" w16cid:durableId="1727872701">
    <w:abstractNumId w:val="5"/>
  </w:num>
  <w:num w:numId="3" w16cid:durableId="1954482207">
    <w:abstractNumId w:val="11"/>
  </w:num>
  <w:num w:numId="4" w16cid:durableId="1005743317">
    <w:abstractNumId w:val="7"/>
  </w:num>
  <w:num w:numId="5" w16cid:durableId="416251573">
    <w:abstractNumId w:val="10"/>
  </w:num>
  <w:num w:numId="6" w16cid:durableId="2020621728">
    <w:abstractNumId w:val="6"/>
  </w:num>
  <w:num w:numId="7" w16cid:durableId="1082726094">
    <w:abstractNumId w:val="1"/>
  </w:num>
  <w:num w:numId="8" w16cid:durableId="631711151">
    <w:abstractNumId w:val="9"/>
  </w:num>
  <w:num w:numId="9" w16cid:durableId="892231590">
    <w:abstractNumId w:val="0"/>
  </w:num>
  <w:num w:numId="10" w16cid:durableId="1750998176">
    <w:abstractNumId w:val="2"/>
  </w:num>
  <w:num w:numId="11" w16cid:durableId="2074157600">
    <w:abstractNumId w:val="3"/>
  </w:num>
  <w:num w:numId="12" w16cid:durableId="1391880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43"/>
    <w:rsid w:val="006F5B18"/>
    <w:rsid w:val="007B14CF"/>
    <w:rsid w:val="008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56E06ED"/>
  <w15:docId w15:val="{26F34218-D799-4EE3-B05A-FD3E92E0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CF"/>
  </w:style>
  <w:style w:type="paragraph" w:styleId="Footer">
    <w:name w:val="footer"/>
    <w:basedOn w:val="Normal"/>
    <w:link w:val="FooterChar"/>
    <w:uiPriority w:val="99"/>
    <w:unhideWhenUsed/>
    <w:rsid w:val="007B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871</Words>
  <Characters>8866</Characters>
  <Application>Microsoft Office Word</Application>
  <DocSecurity>0</DocSecurity>
  <Lines>199</Lines>
  <Paragraphs>139</Paragraphs>
  <ScaleCrop>false</ScaleCrop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Dwight Holcomb</cp:lastModifiedBy>
  <cp:revision>2</cp:revision>
  <dcterms:created xsi:type="dcterms:W3CDTF">2025-10-18T21:20:00Z</dcterms:created>
  <dcterms:modified xsi:type="dcterms:W3CDTF">2025-10-18T21:32:00Z</dcterms:modified>
</cp:coreProperties>
</file>